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E73D" w14:textId="408F6826" w:rsidR="00FC16A5" w:rsidRDefault="00000000" w:rsidP="00FC16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 w:eastAsia="es-ES"/>
        </w:rPr>
        <w:pict w14:anchorId="289CE9D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0" type="#_x0000_t202" style="position:absolute;margin-left:217.2pt;margin-top:12.2pt;width:246pt;height:6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" stroked="f">
            <v:textbox>
              <w:txbxContent>
                <w:p w14:paraId="5F62ACD3" w14:textId="77777777" w:rsidR="00FF4CD7" w:rsidRPr="000C0CED" w:rsidRDefault="00FF4CD7" w:rsidP="00FF4CD7">
                  <w:pPr>
                    <w:spacing w:after="0"/>
                    <w:jc w:val="right"/>
                    <w:outlineLvl w:val="1"/>
                    <w:rPr>
                      <w:rFonts w:ascii="Century Gothic" w:eastAsia="Times New Roman" w:hAnsi="Century Gothic" w:cs="Arial"/>
                      <w:b/>
                      <w:bCs/>
                      <w:iCs/>
                      <w:color w:val="800000"/>
                      <w:sz w:val="36"/>
                      <w:szCs w:val="36"/>
                      <w:lang w:val="es-ES" w:eastAsia="es-ES"/>
                    </w:rPr>
                  </w:pPr>
                  <w:r w:rsidRPr="000C0CED">
                    <w:rPr>
                      <w:rFonts w:ascii="Century Gothic" w:eastAsia="Times New Roman" w:hAnsi="Century Gothic" w:cs="Arial"/>
                      <w:b/>
                      <w:bCs/>
                      <w:iCs/>
                      <w:color w:val="800000"/>
                      <w:sz w:val="36"/>
                      <w:szCs w:val="36"/>
                      <w:lang w:val="es-ES" w:eastAsia="es-ES"/>
                    </w:rPr>
                    <w:t>CURSO - TALLER</w:t>
                  </w:r>
                </w:p>
                <w:p w14:paraId="678CFB62" w14:textId="77777777" w:rsidR="00FF4CD7" w:rsidRPr="000C0CED" w:rsidRDefault="00FF4CD7" w:rsidP="00FF4CD7">
                  <w:pPr>
                    <w:spacing w:after="0"/>
                    <w:jc w:val="right"/>
                    <w:outlineLvl w:val="1"/>
                    <w:rPr>
                      <w:rFonts w:ascii="Century Gothic" w:eastAsia="Times New Roman" w:hAnsi="Century Gothic" w:cs="Arial"/>
                      <w:b/>
                      <w:bCs/>
                      <w:iCs/>
                      <w:color w:val="800000"/>
                      <w:sz w:val="36"/>
                      <w:szCs w:val="36"/>
                      <w:lang w:val="es-ES" w:eastAsia="es-ES"/>
                    </w:rPr>
                  </w:pPr>
                  <w:r w:rsidRPr="000C0CED">
                    <w:rPr>
                      <w:rFonts w:ascii="Century Gothic" w:eastAsia="Times New Roman" w:hAnsi="Century Gothic" w:cs="Arial"/>
                      <w:b/>
                      <w:bCs/>
                      <w:iCs/>
                      <w:color w:val="800000"/>
                      <w:sz w:val="36"/>
                      <w:szCs w:val="36"/>
                      <w:lang w:val="es-ES" w:eastAsia="es-ES"/>
                    </w:rPr>
                    <w:t>DECLARACIÓN ANUAL</w:t>
                  </w:r>
                </w:p>
                <w:p w14:paraId="2694CB8D" w14:textId="77777777" w:rsidR="00FF4CD7" w:rsidRDefault="00FF4CD7" w:rsidP="00FF4CD7">
                  <w:pPr>
                    <w:spacing w:after="0"/>
                  </w:pPr>
                </w:p>
              </w:txbxContent>
            </v:textbox>
          </v:shape>
        </w:pict>
      </w:r>
      <w:r w:rsidR="003F6AF4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89B4242" wp14:editId="58C79BBD">
            <wp:extent cx="2750515" cy="1833677"/>
            <wp:effectExtent l="0" t="0" r="0" b="0"/>
            <wp:docPr id="2119332938" name="Imagen 1" descr="Una persona sentado frente a una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32938" name="Imagen 1" descr="Una persona sentado frente a una computador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200" cy="183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CD2D2" w14:textId="77777777" w:rsidR="00394F63" w:rsidRDefault="00394F63" w:rsidP="00FC16A5">
      <w:pPr>
        <w:rPr>
          <w:rFonts w:ascii="Century Gothic" w:hAnsi="Century Gothic"/>
          <w:sz w:val="24"/>
          <w:szCs w:val="24"/>
        </w:rPr>
      </w:pPr>
    </w:p>
    <w:p w14:paraId="2DC09CF4" w14:textId="77777777" w:rsidR="00FF4CD7" w:rsidRPr="00FF4CD7" w:rsidRDefault="00FF4CD7" w:rsidP="00FF4CD7">
      <w:pPr>
        <w:ind w:left="-567"/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FF4CD7">
        <w:rPr>
          <w:rFonts w:ascii="Century Gothic" w:hAnsi="Century Gothic"/>
          <w:b/>
          <w:color w:val="800000"/>
          <w:sz w:val="24"/>
          <w:szCs w:val="24"/>
        </w:rPr>
        <w:t>OBJETIVO</w:t>
      </w:r>
    </w:p>
    <w:p w14:paraId="51520E3D" w14:textId="3AE10453" w:rsidR="00FF4CD7" w:rsidRPr="004B430E" w:rsidRDefault="004B430E" w:rsidP="004B430E">
      <w:pPr>
        <w:ind w:left="-567"/>
        <w:jc w:val="both"/>
        <w:rPr>
          <w:rFonts w:ascii="Century Gothic" w:hAnsi="Century Gothic"/>
          <w:bCs/>
          <w:sz w:val="24"/>
          <w:szCs w:val="24"/>
          <w:highlight w:val="yellow"/>
        </w:rPr>
      </w:pPr>
      <w:r w:rsidRPr="004B430E">
        <w:rPr>
          <w:rFonts w:ascii="Century Gothic" w:hAnsi="Century Gothic"/>
          <w:bCs/>
          <w:sz w:val="24"/>
          <w:szCs w:val="24"/>
        </w:rPr>
        <w:t>Enseñar al participante a llenar correctamente la información solicitada relativa a ingresos, deducciones en el ISR, así como el servicio de declaraciones y pagos anual.</w:t>
      </w:r>
    </w:p>
    <w:p w14:paraId="53F90C95" w14:textId="77777777" w:rsidR="00FF4CD7" w:rsidRPr="009B0122" w:rsidRDefault="00FF4CD7" w:rsidP="00FF4CD7">
      <w:pPr>
        <w:jc w:val="both"/>
        <w:rPr>
          <w:rFonts w:ascii="Century Gothic" w:hAnsi="Century Gothic"/>
          <w:color w:val="595959"/>
          <w:sz w:val="24"/>
          <w:szCs w:val="24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E0" w:firstRow="1" w:lastRow="1" w:firstColumn="1" w:lastColumn="0" w:noHBand="0" w:noVBand="1"/>
      </w:tblPr>
      <w:tblGrid>
        <w:gridCol w:w="4539"/>
        <w:gridCol w:w="4515"/>
      </w:tblGrid>
      <w:tr w:rsidR="00FF4CD7" w:rsidRPr="00941280" w14:paraId="47279B87" w14:textId="77777777" w:rsidTr="004043BF">
        <w:tc>
          <w:tcPr>
            <w:tcW w:w="4748" w:type="dxa"/>
            <w:shd w:val="clear" w:color="auto" w:fill="D3DFEE"/>
          </w:tcPr>
          <w:p w14:paraId="1464827A" w14:textId="77777777" w:rsidR="00FF4CD7" w:rsidRPr="00941280" w:rsidRDefault="00FF4CD7" w:rsidP="004043BF">
            <w:pPr>
              <w:jc w:val="both"/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DIRIGIDO A:</w:t>
            </w:r>
          </w:p>
        </w:tc>
        <w:tc>
          <w:tcPr>
            <w:tcW w:w="4748" w:type="dxa"/>
            <w:shd w:val="clear" w:color="auto" w:fill="D3DFEE"/>
          </w:tcPr>
          <w:p w14:paraId="6EEE4DB2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Gerentes administrativos, contralores, contadores, sub contadores y asistentes contables y administrativos de empresas y despachos contables y de auditoria, que deben preparar el cierre fiscal.</w:t>
            </w:r>
          </w:p>
        </w:tc>
      </w:tr>
      <w:tr w:rsidR="00FF4CD7" w:rsidRPr="00941280" w14:paraId="78A616D8" w14:textId="77777777" w:rsidTr="004043BF">
        <w:tc>
          <w:tcPr>
            <w:tcW w:w="4748" w:type="dxa"/>
            <w:shd w:val="clear" w:color="auto" w:fill="A7BFDE"/>
          </w:tcPr>
          <w:p w14:paraId="5586593E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DURACIÓN:</w:t>
            </w:r>
          </w:p>
        </w:tc>
        <w:tc>
          <w:tcPr>
            <w:tcW w:w="4748" w:type="dxa"/>
            <w:shd w:val="clear" w:color="auto" w:fill="A7BFDE"/>
          </w:tcPr>
          <w:p w14:paraId="1E1A7924" w14:textId="77777777" w:rsidR="00FF4CD7" w:rsidRPr="00941280" w:rsidRDefault="00FF4CD7" w:rsidP="004043BF">
            <w:pPr>
              <w:rPr>
                <w:rFonts w:ascii="Century Gothic" w:hAnsi="Century Gothic"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color w:val="595959"/>
                <w:sz w:val="24"/>
                <w:szCs w:val="24"/>
              </w:rPr>
              <w:t>04hrs.</w:t>
            </w:r>
          </w:p>
        </w:tc>
      </w:tr>
      <w:tr w:rsidR="00FF4CD7" w:rsidRPr="00941280" w14:paraId="59090842" w14:textId="77777777" w:rsidTr="004043BF">
        <w:tc>
          <w:tcPr>
            <w:tcW w:w="4748" w:type="dxa"/>
            <w:shd w:val="clear" w:color="auto" w:fill="D3DFEE"/>
          </w:tcPr>
          <w:p w14:paraId="16C74239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ÁREA CATÁLOGO:</w:t>
            </w:r>
          </w:p>
        </w:tc>
        <w:tc>
          <w:tcPr>
            <w:tcW w:w="4748" w:type="dxa"/>
            <w:shd w:val="clear" w:color="auto" w:fill="D3DFEE"/>
          </w:tcPr>
          <w:p w14:paraId="754451F5" w14:textId="77777777" w:rsidR="00FF4CD7" w:rsidRPr="00941280" w:rsidRDefault="00FF4CD7" w:rsidP="004043BF">
            <w:pPr>
              <w:rPr>
                <w:rFonts w:ascii="Century Gothic" w:hAnsi="Century Gothic"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color w:val="595959"/>
                <w:sz w:val="24"/>
                <w:szCs w:val="24"/>
              </w:rPr>
              <w:t xml:space="preserve">Contabilidad y finanzas (impuestos) </w:t>
            </w:r>
          </w:p>
        </w:tc>
      </w:tr>
      <w:tr w:rsidR="00FF4CD7" w:rsidRPr="00941280" w14:paraId="19AF50CA" w14:textId="77777777" w:rsidTr="004043BF">
        <w:tc>
          <w:tcPr>
            <w:tcW w:w="4748" w:type="dxa"/>
            <w:shd w:val="clear" w:color="auto" w:fill="A7BFDE"/>
          </w:tcPr>
          <w:p w14:paraId="4A8EA750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COMPETENCIAS A DESARROLLAR:</w:t>
            </w:r>
          </w:p>
        </w:tc>
        <w:tc>
          <w:tcPr>
            <w:tcW w:w="4748" w:type="dxa"/>
            <w:shd w:val="clear" w:color="auto" w:fill="A7BFDE"/>
          </w:tcPr>
          <w:p w14:paraId="5DB59202" w14:textId="77777777" w:rsidR="00FF4CD7" w:rsidRPr="00941280" w:rsidRDefault="00FF4CD7" w:rsidP="004043BF">
            <w:pPr>
              <w:rPr>
                <w:rFonts w:ascii="Century Gothic" w:hAnsi="Century Gothic"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color w:val="595959"/>
                <w:sz w:val="24"/>
                <w:szCs w:val="24"/>
              </w:rPr>
              <w:t>Control, análisis numérico, planificación y organización, orientación a resultados</w:t>
            </w:r>
          </w:p>
        </w:tc>
      </w:tr>
      <w:tr w:rsidR="00FF4CD7" w:rsidRPr="00941280" w14:paraId="123C2DB3" w14:textId="77777777" w:rsidTr="004043BF">
        <w:tc>
          <w:tcPr>
            <w:tcW w:w="4748" w:type="dxa"/>
            <w:tcBorders>
              <w:top w:val="single" w:sz="18" w:space="0" w:color="7BA0CD"/>
            </w:tcBorders>
            <w:shd w:val="clear" w:color="auto" w:fill="D3DFEE"/>
          </w:tcPr>
          <w:p w14:paraId="75BB04BC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RECONOCIMIENTO:</w:t>
            </w:r>
          </w:p>
        </w:tc>
        <w:tc>
          <w:tcPr>
            <w:tcW w:w="4748" w:type="dxa"/>
            <w:tcBorders>
              <w:top w:val="single" w:sz="18" w:space="0" w:color="7BA0CD"/>
            </w:tcBorders>
            <w:shd w:val="clear" w:color="auto" w:fill="D3DFEE"/>
          </w:tcPr>
          <w:p w14:paraId="22B198B5" w14:textId="77777777" w:rsidR="00FF4CD7" w:rsidRPr="00941280" w:rsidRDefault="00FF4CD7" w:rsidP="004043BF">
            <w:pPr>
              <w:rPr>
                <w:rFonts w:ascii="Century Gothic" w:hAnsi="Century Gothic"/>
                <w:b/>
                <w:bCs/>
                <w:color w:val="595959"/>
                <w:sz w:val="24"/>
                <w:szCs w:val="24"/>
              </w:rPr>
            </w:pPr>
            <w:r w:rsidRPr="00941280">
              <w:rPr>
                <w:rFonts w:ascii="Century Gothic" w:hAnsi="Century Gothic"/>
                <w:bCs/>
                <w:color w:val="595959"/>
                <w:sz w:val="24"/>
                <w:szCs w:val="24"/>
              </w:rPr>
              <w:t>Certificado con registro ante STPS (WCC1008026U2-0013)</w:t>
            </w:r>
          </w:p>
        </w:tc>
      </w:tr>
    </w:tbl>
    <w:p w14:paraId="29B1EC9E" w14:textId="77777777" w:rsidR="00FF4CD7" w:rsidRPr="009B0122" w:rsidRDefault="00FF4CD7" w:rsidP="00FF4CD7">
      <w:pPr>
        <w:ind w:left="-567"/>
        <w:rPr>
          <w:rFonts w:ascii="Century Gothic" w:hAnsi="Century Gothic"/>
          <w:color w:val="595959"/>
          <w:sz w:val="24"/>
          <w:szCs w:val="24"/>
        </w:rPr>
      </w:pPr>
    </w:p>
    <w:p w14:paraId="29CF32E8" w14:textId="77777777" w:rsidR="00FF4CD7" w:rsidRDefault="00FF4CD7" w:rsidP="00FF4CD7">
      <w:pPr>
        <w:ind w:left="-567"/>
        <w:jc w:val="center"/>
        <w:rPr>
          <w:rFonts w:ascii="Century Gothic" w:hAnsi="Century Gothic"/>
          <w:b/>
          <w:color w:val="943634"/>
          <w:sz w:val="24"/>
          <w:szCs w:val="24"/>
        </w:rPr>
      </w:pPr>
    </w:p>
    <w:p w14:paraId="0CE0A907" w14:textId="77777777" w:rsidR="00FF4CD7" w:rsidRDefault="00FF4CD7" w:rsidP="00FF4CD7">
      <w:pPr>
        <w:ind w:left="-567"/>
        <w:jc w:val="center"/>
        <w:rPr>
          <w:rFonts w:ascii="Century Gothic" w:hAnsi="Century Gothic"/>
          <w:b/>
          <w:color w:val="943634"/>
          <w:sz w:val="24"/>
          <w:szCs w:val="24"/>
        </w:rPr>
      </w:pPr>
    </w:p>
    <w:p w14:paraId="21C1349B" w14:textId="77777777" w:rsidR="00FF4CD7" w:rsidRDefault="00FF4CD7" w:rsidP="00FF4CD7">
      <w:pPr>
        <w:ind w:left="-567"/>
        <w:jc w:val="center"/>
        <w:rPr>
          <w:rFonts w:ascii="Century Gothic" w:hAnsi="Century Gothic"/>
          <w:b/>
          <w:color w:val="943634"/>
          <w:sz w:val="24"/>
          <w:szCs w:val="24"/>
        </w:rPr>
      </w:pPr>
    </w:p>
    <w:p w14:paraId="50FF06DF" w14:textId="77777777" w:rsidR="00FF4CD7" w:rsidRPr="00FF4CD7" w:rsidRDefault="00FF4CD7" w:rsidP="00FF4CD7">
      <w:pPr>
        <w:ind w:left="-567"/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FF4CD7">
        <w:rPr>
          <w:rFonts w:ascii="Century Gothic" w:hAnsi="Century Gothic"/>
          <w:b/>
          <w:color w:val="800000"/>
          <w:sz w:val="24"/>
          <w:szCs w:val="24"/>
        </w:rPr>
        <w:t>TEMARIO</w:t>
      </w:r>
    </w:p>
    <w:p w14:paraId="35D7432D" w14:textId="77777777" w:rsidR="00FF4CD7" w:rsidRPr="00FF4CD7" w:rsidRDefault="00FF4CD7" w:rsidP="00FF4CD7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</w:pPr>
      <w:r w:rsidRPr="00FF4CD7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 xml:space="preserve">Ventajas de presentación anticipada. </w:t>
      </w:r>
    </w:p>
    <w:p w14:paraId="1E38D5DD" w14:textId="77777777" w:rsidR="00FF4CD7" w:rsidRPr="00FF4CD7" w:rsidRDefault="00FF4CD7" w:rsidP="00FF4CD7">
      <w:pPr>
        <w:spacing w:line="240" w:lineRule="auto"/>
        <w:ind w:left="720"/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</w:pPr>
    </w:p>
    <w:p w14:paraId="057141D3" w14:textId="77777777" w:rsidR="00FF4CD7" w:rsidRPr="00FF4CD7" w:rsidRDefault="00FF4CD7" w:rsidP="00FF4CD7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/>
          <w:b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>Fundamentos legales y formatos aplicables</w:t>
      </w:r>
    </w:p>
    <w:p w14:paraId="64F6FA84" w14:textId="77777777" w:rsidR="00FF4CD7" w:rsidRPr="00FF4CD7" w:rsidRDefault="00FF4CD7" w:rsidP="00FF4CD7">
      <w:pPr>
        <w:spacing w:line="240" w:lineRule="auto"/>
        <w:jc w:val="both"/>
        <w:rPr>
          <w:rFonts w:ascii="Century Gothic" w:eastAsia="Times New Roman" w:hAnsi="Century Gothic"/>
          <w:b/>
          <w:color w:val="800000"/>
          <w:sz w:val="24"/>
          <w:szCs w:val="24"/>
          <w:lang w:val="es-ES" w:eastAsia="es-ES"/>
        </w:rPr>
      </w:pPr>
    </w:p>
    <w:p w14:paraId="71F58300" w14:textId="77777777" w:rsidR="00FF4CD7" w:rsidRPr="00FF4CD7" w:rsidRDefault="00FF4CD7" w:rsidP="00FF4CD7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/>
          <w:b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>Declaraciones del ejercicio Vía Internet.</w:t>
      </w:r>
    </w:p>
    <w:p w14:paraId="72AF8A29" w14:textId="77777777" w:rsidR="00FF4CD7" w:rsidRPr="00FF4CD7" w:rsidRDefault="00FF4CD7" w:rsidP="00FF4CD7">
      <w:pPr>
        <w:spacing w:line="240" w:lineRule="auto"/>
        <w:jc w:val="both"/>
        <w:rPr>
          <w:rFonts w:ascii="Century Gothic" w:eastAsia="Times New Roman" w:hAnsi="Century Gothic"/>
          <w:b/>
          <w:color w:val="800000"/>
          <w:sz w:val="24"/>
          <w:szCs w:val="24"/>
          <w:lang w:val="es-ES" w:eastAsia="es-ES"/>
        </w:rPr>
      </w:pPr>
    </w:p>
    <w:p w14:paraId="53544E24" w14:textId="77777777" w:rsidR="00FF4CD7" w:rsidRPr="00FF4CD7" w:rsidRDefault="00FF4CD7" w:rsidP="00FF4CD7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>Novedades del programa</w:t>
      </w:r>
      <w:r w:rsidRPr="00FF4CD7">
        <w:rPr>
          <w:rFonts w:ascii="Century Gothic" w:eastAsia="Times New Roman" w:hAnsi="Century Gothic"/>
          <w:iCs/>
          <w:color w:val="800000"/>
          <w:sz w:val="24"/>
          <w:szCs w:val="24"/>
          <w:lang w:eastAsia="es-ES"/>
        </w:rPr>
        <w:t>.</w:t>
      </w:r>
    </w:p>
    <w:p w14:paraId="64468FAC" w14:textId="77777777" w:rsidR="00FF4CD7" w:rsidRPr="00FF4CD7" w:rsidRDefault="00FF4CD7" w:rsidP="00FF4CD7">
      <w:pPr>
        <w:pStyle w:val="Prrafodelista"/>
        <w:numPr>
          <w:ilvl w:val="0"/>
          <w:numId w:val="9"/>
        </w:numPr>
        <w:rPr>
          <w:rFonts w:ascii="Century Gothic" w:hAnsi="Century Gothic"/>
          <w:iCs/>
          <w:color w:val="262626" w:themeColor="text1" w:themeTint="D9"/>
          <w:sz w:val="24"/>
          <w:szCs w:val="24"/>
          <w:lang w:eastAsia="es-ES"/>
        </w:rPr>
      </w:pPr>
      <w:r w:rsidRPr="00FF4CD7">
        <w:rPr>
          <w:rFonts w:ascii="Century Gothic" w:hAnsi="Century Gothic"/>
          <w:iCs/>
          <w:color w:val="262626" w:themeColor="text1" w:themeTint="D9"/>
          <w:sz w:val="24"/>
          <w:szCs w:val="24"/>
          <w:lang w:eastAsia="es-ES"/>
        </w:rPr>
        <w:t xml:space="preserve"> Datos de Identificación</w:t>
      </w:r>
    </w:p>
    <w:p w14:paraId="0202961A" w14:textId="77777777" w:rsidR="00FF4CD7" w:rsidRPr="00FF4CD7" w:rsidRDefault="00FF4CD7" w:rsidP="00FF4CD7">
      <w:pPr>
        <w:pStyle w:val="Prrafodelista"/>
        <w:ind w:left="1080"/>
        <w:rPr>
          <w:rFonts w:ascii="Century Gothic" w:hAnsi="Century Gothic"/>
          <w:iCs/>
          <w:color w:val="800000"/>
          <w:sz w:val="24"/>
          <w:szCs w:val="24"/>
          <w:lang w:eastAsia="es-ES"/>
        </w:rPr>
      </w:pPr>
    </w:p>
    <w:p w14:paraId="3845040A" w14:textId="77777777" w:rsidR="00FF4CD7" w:rsidRPr="00FF4CD7" w:rsidRDefault="00FF4CD7" w:rsidP="00FF4CD7">
      <w:pPr>
        <w:pStyle w:val="Prrafodelista"/>
        <w:numPr>
          <w:ilvl w:val="0"/>
          <w:numId w:val="8"/>
        </w:numPr>
        <w:rPr>
          <w:rFonts w:ascii="Century Gothic" w:hAnsi="Century Gothic"/>
          <w:b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hAnsi="Century Gothic"/>
          <w:b/>
          <w:iCs/>
          <w:color w:val="800000"/>
          <w:sz w:val="24"/>
          <w:szCs w:val="24"/>
          <w:lang w:eastAsia="es-ES"/>
        </w:rPr>
        <w:t>Dictamen fiscal</w:t>
      </w:r>
    </w:p>
    <w:p w14:paraId="4AB8CE00" w14:textId="77777777" w:rsidR="00FF4CD7" w:rsidRPr="00FF4CD7" w:rsidRDefault="00FF4CD7" w:rsidP="00FF4CD7">
      <w:pPr>
        <w:pStyle w:val="Prrafodelista"/>
        <w:rPr>
          <w:rFonts w:ascii="Century Gothic" w:hAnsi="Century Gothic"/>
          <w:b/>
          <w:color w:val="800000"/>
          <w:sz w:val="24"/>
          <w:szCs w:val="24"/>
          <w:lang w:val="es-ES" w:eastAsia="es-ES"/>
        </w:rPr>
      </w:pPr>
    </w:p>
    <w:p w14:paraId="2EC3A2BA" w14:textId="77777777" w:rsidR="00FF4CD7" w:rsidRPr="00FF4CD7" w:rsidRDefault="00FF4CD7" w:rsidP="00FF4CD7">
      <w:pPr>
        <w:pStyle w:val="Prrafodelista"/>
        <w:numPr>
          <w:ilvl w:val="0"/>
          <w:numId w:val="8"/>
        </w:numPr>
        <w:rPr>
          <w:rFonts w:ascii="Century Gothic" w:hAnsi="Century Gothic"/>
          <w:b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hAnsi="Century Gothic"/>
          <w:b/>
          <w:color w:val="800000"/>
          <w:sz w:val="24"/>
          <w:szCs w:val="24"/>
          <w:lang w:eastAsia="es-ES"/>
        </w:rPr>
        <w:t>Listado de conceptos</w:t>
      </w:r>
    </w:p>
    <w:p w14:paraId="22469369" w14:textId="77777777" w:rsidR="00FF4CD7" w:rsidRPr="00FF4CD7" w:rsidRDefault="00FF4CD7" w:rsidP="00FF4CD7">
      <w:pPr>
        <w:pStyle w:val="Prrafodelista"/>
        <w:numPr>
          <w:ilvl w:val="0"/>
          <w:numId w:val="10"/>
        </w:numPr>
        <w:rPr>
          <w:rFonts w:ascii="Century Gothic" w:hAnsi="Century Gothic"/>
          <w:color w:val="262626" w:themeColor="text1" w:themeTint="D9"/>
          <w:sz w:val="24"/>
          <w:szCs w:val="24"/>
          <w:lang w:val="es-ES" w:eastAsia="es-ES"/>
        </w:rPr>
      </w:pPr>
      <w:r w:rsidRPr="00FF4CD7">
        <w:rPr>
          <w:rFonts w:ascii="Century Gothic" w:hAnsi="Century Gothic"/>
          <w:color w:val="262626" w:themeColor="text1" w:themeTint="D9"/>
          <w:sz w:val="24"/>
          <w:szCs w:val="24"/>
          <w:lang w:val="es-ES" w:eastAsia="es-ES"/>
        </w:rPr>
        <w:t>Ley de Ingresos de la Federación</w:t>
      </w:r>
    </w:p>
    <w:p w14:paraId="0891F4D2" w14:textId="77777777" w:rsidR="00FF4CD7" w:rsidRPr="00FF4CD7" w:rsidRDefault="00FF4CD7" w:rsidP="00FF4CD7">
      <w:pPr>
        <w:pStyle w:val="Prrafodelista"/>
        <w:ind w:left="1080"/>
        <w:rPr>
          <w:rFonts w:ascii="Century Gothic" w:hAnsi="Century Gothic"/>
          <w:color w:val="800000"/>
          <w:sz w:val="24"/>
          <w:szCs w:val="24"/>
          <w:lang w:val="es-ES" w:eastAsia="es-ES"/>
        </w:rPr>
      </w:pPr>
    </w:p>
    <w:p w14:paraId="6269CF50" w14:textId="77777777" w:rsidR="00FF4CD7" w:rsidRPr="00FF4CD7" w:rsidRDefault="00FF4CD7" w:rsidP="00FF4CD7">
      <w:pPr>
        <w:pStyle w:val="Prrafodelista"/>
        <w:numPr>
          <w:ilvl w:val="0"/>
          <w:numId w:val="8"/>
        </w:numPr>
        <w:rPr>
          <w:rFonts w:ascii="Century Gothic" w:hAnsi="Century Gothic"/>
          <w:b/>
          <w:color w:val="800000"/>
          <w:sz w:val="24"/>
          <w:szCs w:val="24"/>
          <w:lang w:val="es-ES" w:eastAsia="es-ES"/>
        </w:rPr>
      </w:pPr>
      <w:r w:rsidRPr="00FF4CD7">
        <w:rPr>
          <w:rFonts w:ascii="Century Gothic" w:hAnsi="Century Gothic"/>
          <w:b/>
          <w:iCs/>
          <w:color w:val="800000"/>
          <w:sz w:val="24"/>
          <w:szCs w:val="24"/>
          <w:lang w:val="es-ES" w:eastAsia="es-ES"/>
        </w:rPr>
        <w:t xml:space="preserve">Aspectos a considerar para efectos del cierre en el DEM </w:t>
      </w:r>
    </w:p>
    <w:p w14:paraId="104324A7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eastAsia="es-ES"/>
        </w:rPr>
        <w:t>Ajuste por Inflación Acumulable</w:t>
      </w:r>
    </w:p>
    <w:p w14:paraId="7AE1E66B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eastAsia="es-ES"/>
        </w:rPr>
        <w:t>Pérdidas Fiscales</w:t>
      </w:r>
    </w:p>
    <w:p w14:paraId="47518936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" w:eastAsia="es-ES"/>
        </w:rPr>
        <w:t>Cuenta de Capital de aportación</w:t>
      </w:r>
    </w:p>
    <w:p w14:paraId="1E09BDA7" w14:textId="77777777" w:rsidR="00FF4CD7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_tradnl" w:eastAsia="es-ES"/>
        </w:rPr>
        <w:t>Cuenta de Utilidad Fiscal Neta</w:t>
      </w:r>
    </w:p>
    <w:p w14:paraId="76BD6BC2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_tradnl" w:eastAsia="es-ES"/>
        </w:rPr>
        <w:t>Deducción de Inversiones y deducción Inmediata</w:t>
      </w:r>
    </w:p>
    <w:p w14:paraId="5BDBE53D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" w:eastAsia="es-ES"/>
        </w:rPr>
        <w:t>Participación de los trabajadores en las utilidades:</w:t>
      </w:r>
    </w:p>
    <w:p w14:paraId="1DF6476E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_tradnl" w:eastAsia="es-ES"/>
        </w:rPr>
        <w:t>Inventario acumulable y reducido</w:t>
      </w:r>
    </w:p>
    <w:p w14:paraId="0C1EFA84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val="es-ES_tradnl" w:eastAsia="es-ES"/>
        </w:rPr>
        <w:t>Requisitos de las deducciones</w:t>
      </w:r>
    </w:p>
    <w:p w14:paraId="1B7D4C3C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sz w:val="24"/>
          <w:szCs w:val="24"/>
          <w:lang w:eastAsia="es-ES"/>
        </w:rPr>
        <w:t>Información financiera</w:t>
      </w:r>
    </w:p>
    <w:p w14:paraId="30E248B4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iCs/>
          <w:sz w:val="24"/>
          <w:szCs w:val="24"/>
          <w:lang w:eastAsia="es-ES"/>
        </w:rPr>
      </w:pPr>
      <w:r w:rsidRPr="000C0CED">
        <w:rPr>
          <w:rFonts w:ascii="Century Gothic" w:eastAsia="Times New Roman" w:hAnsi="Century Gothic"/>
          <w:iCs/>
          <w:sz w:val="24"/>
          <w:szCs w:val="24"/>
          <w:lang w:eastAsia="es-ES"/>
        </w:rPr>
        <w:t>Cuentas Sensitivas</w:t>
      </w:r>
    </w:p>
    <w:p w14:paraId="740BEFFD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iCs/>
          <w:sz w:val="24"/>
          <w:szCs w:val="24"/>
          <w:lang w:val="es-ES_tradnl" w:eastAsia="es-ES"/>
        </w:rPr>
        <w:t>Costo de ventas.</w:t>
      </w:r>
    </w:p>
    <w:p w14:paraId="0902AB82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iCs/>
          <w:sz w:val="24"/>
          <w:szCs w:val="24"/>
          <w:lang w:val="es-ES_tradnl" w:eastAsia="es-ES"/>
        </w:rPr>
        <w:t>Intereses</w:t>
      </w:r>
    </w:p>
    <w:p w14:paraId="467A5199" w14:textId="77777777" w:rsidR="00FF4CD7" w:rsidRPr="000C0CED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sz w:val="24"/>
          <w:szCs w:val="24"/>
          <w:lang w:val="es-ES" w:eastAsia="es-ES"/>
        </w:rPr>
      </w:pPr>
      <w:r w:rsidRPr="000C0CED">
        <w:rPr>
          <w:rFonts w:ascii="Century Gothic" w:eastAsia="Times New Roman" w:hAnsi="Century Gothic"/>
          <w:iCs/>
          <w:sz w:val="24"/>
          <w:szCs w:val="24"/>
          <w:lang w:val="es-ES_tradnl" w:eastAsia="es-ES"/>
        </w:rPr>
        <w:t>Gastos</w:t>
      </w:r>
    </w:p>
    <w:p w14:paraId="5AD2F584" w14:textId="32509742" w:rsidR="00FF4CD7" w:rsidRPr="003F6AF4" w:rsidRDefault="00FF4CD7" w:rsidP="00FF4CD7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/>
          <w:iCs/>
          <w:sz w:val="24"/>
          <w:szCs w:val="24"/>
          <w:lang w:val="es-ES_tradnl" w:eastAsia="es-ES"/>
        </w:rPr>
      </w:pPr>
      <w:r w:rsidRPr="000C0CED">
        <w:rPr>
          <w:rFonts w:ascii="Century Gothic" w:eastAsia="Times New Roman" w:hAnsi="Century Gothic"/>
          <w:iCs/>
          <w:sz w:val="24"/>
          <w:szCs w:val="24"/>
          <w:lang w:val="es-ES_tradnl" w:eastAsia="es-ES"/>
        </w:rPr>
        <w:t>Aspecto legal corporativo.</w:t>
      </w:r>
    </w:p>
    <w:p w14:paraId="6A21AAA8" w14:textId="7800593D" w:rsidR="00394F63" w:rsidRDefault="00FF4CD7" w:rsidP="00FF4CD7">
      <w:pPr>
        <w:spacing w:line="240" w:lineRule="auto"/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</w:pPr>
      <w:r w:rsidRPr="000C0CED">
        <w:rPr>
          <w:rFonts w:ascii="Century Gothic" w:eastAsia="Times New Roman" w:hAnsi="Century Gothic"/>
          <w:b/>
          <w:color w:val="800000"/>
          <w:sz w:val="24"/>
          <w:szCs w:val="24"/>
          <w:lang w:val="es-ES_tradnl" w:eastAsia="es-ES"/>
        </w:rPr>
        <w:t xml:space="preserve">Caso </w:t>
      </w:r>
      <w:r w:rsidRPr="000C0CED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>Práctico</w:t>
      </w:r>
      <w:r w:rsidRPr="00B517B7">
        <w:rPr>
          <w:rFonts w:ascii="Century Gothic" w:eastAsia="Times New Roman" w:hAnsi="Century Gothic"/>
          <w:b/>
          <w:iCs/>
          <w:color w:val="800000"/>
          <w:sz w:val="24"/>
          <w:szCs w:val="24"/>
          <w:lang w:eastAsia="es-ES"/>
        </w:rPr>
        <w:t>, llenado de formato.</w:t>
      </w:r>
    </w:p>
    <w:p w14:paraId="406C74A4" w14:textId="5827319E" w:rsidR="00441F58" w:rsidRDefault="00441F58" w:rsidP="00441F58">
      <w:pPr>
        <w:spacing w:line="240" w:lineRule="auto"/>
        <w:jc w:val="center"/>
        <w:rPr>
          <w:rFonts w:ascii="Century Gothic" w:hAnsi="Century Gothic"/>
          <w:b/>
          <w:color w:val="800000"/>
          <w:sz w:val="24"/>
          <w:szCs w:val="24"/>
        </w:rPr>
      </w:pPr>
      <w:r>
        <w:rPr>
          <w:rFonts w:ascii="Century Gothic" w:hAnsi="Century Gothic"/>
          <w:b/>
          <w:color w:val="800000"/>
          <w:sz w:val="24"/>
          <w:szCs w:val="24"/>
        </w:rPr>
        <w:t>BENEFICIOS</w:t>
      </w:r>
    </w:p>
    <w:p w14:paraId="72A75BCD" w14:textId="2E0D3EAE" w:rsidR="00441F58" w:rsidRPr="003F6AF4" w:rsidRDefault="00441F58" w:rsidP="00441F58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bCs/>
          <w:sz w:val="24"/>
          <w:szCs w:val="24"/>
          <w:lang w:val="es-MX"/>
        </w:rPr>
      </w:pPr>
      <w:bookmarkStart w:id="0" w:name="_Hlk71198216"/>
      <w:r w:rsidRPr="003F6AF4">
        <w:rPr>
          <w:rFonts w:ascii="Century Gothic" w:hAnsi="Century Gothic"/>
          <w:bCs/>
          <w:sz w:val="24"/>
          <w:szCs w:val="24"/>
          <w:lang w:val="es-MX"/>
        </w:rPr>
        <w:t xml:space="preserve">Podrás elaborar la declaración </w:t>
      </w:r>
      <w:r w:rsidR="003F6AF4" w:rsidRPr="003F6AF4">
        <w:rPr>
          <w:rFonts w:ascii="Century Gothic" w:hAnsi="Century Gothic"/>
          <w:bCs/>
          <w:sz w:val="24"/>
          <w:szCs w:val="24"/>
          <w:lang w:val="es-MX"/>
        </w:rPr>
        <w:t>anual</w:t>
      </w:r>
      <w:r w:rsidRPr="003F6AF4">
        <w:rPr>
          <w:rFonts w:ascii="Century Gothic" w:hAnsi="Century Gothic"/>
          <w:bCs/>
          <w:sz w:val="24"/>
          <w:szCs w:val="24"/>
          <w:lang w:val="es-MX"/>
        </w:rPr>
        <w:t xml:space="preserve"> de Personas Morales </w:t>
      </w:r>
      <w:r w:rsidR="003F6AF4" w:rsidRPr="003F6AF4">
        <w:rPr>
          <w:rFonts w:ascii="Century Gothic" w:hAnsi="Century Gothic"/>
          <w:bCs/>
          <w:sz w:val="24"/>
          <w:szCs w:val="24"/>
          <w:lang w:val="es-MX"/>
        </w:rPr>
        <w:t>incluyendo</w:t>
      </w:r>
      <w:r w:rsidRPr="003F6AF4">
        <w:rPr>
          <w:rFonts w:ascii="Century Gothic" w:hAnsi="Century Gothic"/>
          <w:bCs/>
          <w:sz w:val="24"/>
          <w:szCs w:val="24"/>
          <w:lang w:val="es-MX"/>
        </w:rPr>
        <w:t xml:space="preserve"> aspectos como ISR, impuesto </w:t>
      </w:r>
      <w:r w:rsidR="003F6AF4" w:rsidRPr="003F6AF4">
        <w:rPr>
          <w:rFonts w:ascii="Century Gothic" w:hAnsi="Century Gothic"/>
          <w:bCs/>
          <w:sz w:val="24"/>
          <w:szCs w:val="24"/>
          <w:lang w:val="es-MX"/>
        </w:rPr>
        <w:t>anual</w:t>
      </w:r>
      <w:r w:rsidRPr="003F6AF4">
        <w:rPr>
          <w:rFonts w:ascii="Century Gothic" w:hAnsi="Century Gothic"/>
          <w:bCs/>
          <w:sz w:val="24"/>
          <w:szCs w:val="24"/>
          <w:lang w:val="es-MX"/>
        </w:rPr>
        <w:t xml:space="preserve">, deducciones, entre otros. </w:t>
      </w:r>
      <w:bookmarkEnd w:id="0"/>
    </w:p>
    <w:sectPr w:rsidR="00441F58" w:rsidRPr="003F6AF4" w:rsidSect="00FC16A5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A0FA5" w14:textId="77777777" w:rsidR="00895E5A" w:rsidRDefault="00895E5A" w:rsidP="00667CB8">
      <w:pPr>
        <w:spacing w:after="0" w:line="240" w:lineRule="auto"/>
      </w:pPr>
      <w:r>
        <w:separator/>
      </w:r>
    </w:p>
  </w:endnote>
  <w:endnote w:type="continuationSeparator" w:id="0">
    <w:p w14:paraId="12DA6216" w14:textId="77777777" w:rsidR="00895E5A" w:rsidRDefault="00895E5A" w:rsidP="0066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7101" w14:textId="77777777" w:rsidR="00667CB8" w:rsidRPr="00667CB8" w:rsidRDefault="00667CB8" w:rsidP="00667CB8">
    <w:pPr>
      <w:pStyle w:val="Piedepgina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B1F89" w14:textId="77777777" w:rsidR="00667CB8" w:rsidRPr="002C4CEA" w:rsidRDefault="00000000" w:rsidP="00667CB8">
    <w:pPr>
      <w:pStyle w:val="Piedepgina"/>
      <w:jc w:val="center"/>
      <w:rPr>
        <w:rFonts w:ascii="Century Gothic" w:hAnsi="Century Gothic"/>
        <w:b/>
        <w:color w:val="404040" w:themeColor="text1" w:themeTint="BF"/>
        <w:sz w:val="24"/>
      </w:rPr>
    </w:pPr>
    <w:hyperlink r:id="rId1" w:history="1">
      <w:r w:rsidR="00667CB8" w:rsidRPr="002C4CEA">
        <w:rPr>
          <w:rStyle w:val="Hipervnculo"/>
          <w:rFonts w:ascii="Century Gothic" w:hAnsi="Century Gothic"/>
          <w:b/>
          <w:color w:val="404040" w:themeColor="text1" w:themeTint="BF"/>
          <w:sz w:val="24"/>
          <w:u w:val="none"/>
        </w:rPr>
        <w:t>www.consultek.com.mx</w:t>
      </w:r>
    </w:hyperlink>
    <w:r w:rsidR="00667CB8" w:rsidRPr="002C4CEA">
      <w:rPr>
        <w:rFonts w:ascii="Century Gothic" w:hAnsi="Century Gothic"/>
        <w:b/>
        <w:color w:val="404040" w:themeColor="text1" w:themeTint="BF"/>
        <w:sz w:val="24"/>
      </w:rPr>
      <w:t xml:space="preserve"> </w:t>
    </w:r>
  </w:p>
  <w:p w14:paraId="3C85B53E" w14:textId="77777777" w:rsidR="00667CB8" w:rsidRPr="002C4CEA" w:rsidRDefault="00667CB8" w:rsidP="00667CB8">
    <w:pPr>
      <w:pStyle w:val="Piedepgina"/>
      <w:jc w:val="center"/>
      <w:rPr>
        <w:rFonts w:ascii="Century Gothic" w:hAnsi="Century Gothic"/>
        <w:color w:val="404040" w:themeColor="text1" w:themeTint="BF"/>
      </w:rPr>
    </w:pPr>
    <w:r w:rsidRPr="002C4CEA">
      <w:rPr>
        <w:rFonts w:ascii="Century Gothic" w:hAnsi="Century Gothic"/>
        <w:color w:val="404040" w:themeColor="text1" w:themeTint="BF"/>
      </w:rPr>
      <w:t xml:space="preserve">Lada sin costo: 01 800 552 9951 /  </w:t>
    </w:r>
    <w:hyperlink r:id="rId2" w:history="1">
      <w:r w:rsidRPr="002C4CEA">
        <w:rPr>
          <w:rStyle w:val="Hipervnculo"/>
          <w:rFonts w:ascii="Century Gothic" w:hAnsi="Century Gothic"/>
          <w:color w:val="404040" w:themeColor="text1" w:themeTint="BF"/>
          <w:u w:val="none"/>
        </w:rPr>
        <w:t>ventas@consultek.com.mx</w:t>
      </w:r>
    </w:hyperlink>
    <w:r w:rsidRPr="002C4CEA">
      <w:rPr>
        <w:rFonts w:ascii="Century Gothic" w:hAnsi="Century Gothic"/>
        <w:color w:val="404040" w:themeColor="text1" w:themeTint="BF"/>
      </w:rPr>
      <w:t xml:space="preserve"> </w:t>
    </w:r>
    <w:r w:rsidRPr="002C4CEA">
      <w:rPr>
        <w:rFonts w:ascii="Century Gothic" w:hAnsi="Century Gothic"/>
        <w:b/>
        <w:bCs/>
        <w:color w:val="404040" w:themeColor="text1" w:themeTint="BF"/>
        <w:spacing w:val="30"/>
        <w:sz w:val="15"/>
        <w:szCs w:val="15"/>
        <w:shd w:val="clear" w:color="auto" w:fill="F8F8F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1506E" w14:textId="77777777" w:rsidR="00895E5A" w:rsidRDefault="00895E5A" w:rsidP="00667CB8">
      <w:pPr>
        <w:spacing w:after="0" w:line="240" w:lineRule="auto"/>
      </w:pPr>
      <w:r>
        <w:separator/>
      </w:r>
    </w:p>
  </w:footnote>
  <w:footnote w:type="continuationSeparator" w:id="0">
    <w:p w14:paraId="68541D24" w14:textId="77777777" w:rsidR="00895E5A" w:rsidRDefault="00895E5A" w:rsidP="0066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3FBEB" w14:textId="77777777" w:rsidR="00667CB8" w:rsidRDefault="00CE7B77" w:rsidP="00F53463">
    <w:pPr>
      <w:pStyle w:val="Encabezado"/>
      <w:ind w:left="-1701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noProof/>
        <w:color w:val="000000" w:themeColor="text1"/>
        <w:sz w:val="24"/>
        <w:lang w:val="es-ES" w:eastAsia="es-ES"/>
      </w:rPr>
      <w:drawing>
        <wp:anchor distT="0" distB="0" distL="114300" distR="114300" simplePos="0" relativeHeight="251655168" behindDoc="0" locked="0" layoutInCell="1" allowOverlap="1" wp14:anchorId="4624DFBC" wp14:editId="0FA819D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1539240" cy="1036320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d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 w:rsidRPr="00667CB8">
      <w:rPr>
        <w:rFonts w:ascii="Century Gothic" w:hAnsi="Century Gothic"/>
        <w:noProof/>
        <w:color w:val="000000" w:themeColor="text1"/>
        <w:sz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3EF46F8D" wp14:editId="42684645">
          <wp:simplePos x="0" y="0"/>
          <wp:positionH relativeFrom="column">
            <wp:posOffset>1101090</wp:posOffset>
          </wp:positionH>
          <wp:positionV relativeFrom="paragraph">
            <wp:posOffset>-40005</wp:posOffset>
          </wp:positionV>
          <wp:extent cx="3042920" cy="714375"/>
          <wp:effectExtent l="0" t="0" r="508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GISTR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92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>
      <w:rPr>
        <w:rFonts w:ascii="Century Gothic" w:hAnsi="Century Gothic"/>
        <w:noProof/>
        <w:color w:val="767171" w:themeColor="background2" w:themeShade="80"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55C9AEF" wp14:editId="3CB0A2CF">
          <wp:simplePos x="0" y="0"/>
          <wp:positionH relativeFrom="column">
            <wp:posOffset>5158740</wp:posOffset>
          </wp:positionH>
          <wp:positionV relativeFrom="paragraph">
            <wp:posOffset>-449580</wp:posOffset>
          </wp:positionV>
          <wp:extent cx="1532890" cy="1033145"/>
          <wp:effectExtent l="0" t="0" r="0" b="0"/>
          <wp:wrapThrough wrapText="bothSides">
            <wp:wrapPolygon edited="0">
              <wp:start x="0" y="0"/>
              <wp:lineTo x="0" y="21109"/>
              <wp:lineTo x="21206" y="21109"/>
              <wp:lineTo x="21206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do_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>
      <w:rPr>
        <w:rFonts w:ascii="Century Gothic" w:hAnsi="Century Gothic"/>
        <w:color w:val="000000" w:themeColor="text1"/>
        <w:sz w:val="24"/>
      </w:rPr>
      <w:t xml:space="preserve">          </w:t>
    </w:r>
  </w:p>
  <w:p w14:paraId="54C459D6" w14:textId="77777777" w:rsidR="00F53463" w:rsidRDefault="00F53463" w:rsidP="00F53463">
    <w:pPr>
      <w:pStyle w:val="Encabezado"/>
      <w:ind w:left="-1701"/>
      <w:jc w:val="center"/>
      <w:rPr>
        <w:rFonts w:ascii="Century Gothic" w:hAnsi="Century Gothic"/>
        <w:color w:val="000000" w:themeColor="text1"/>
        <w:sz w:val="24"/>
      </w:rPr>
    </w:pPr>
  </w:p>
  <w:p w14:paraId="0BB73D10" w14:textId="77777777" w:rsidR="00FC16A5" w:rsidRDefault="00FC16A5" w:rsidP="00667CB8">
    <w:pPr>
      <w:pStyle w:val="Encabezado"/>
      <w:jc w:val="center"/>
      <w:rPr>
        <w:rFonts w:ascii="Century Gothic" w:hAnsi="Century Gothic"/>
        <w:color w:val="000000" w:themeColor="text1"/>
        <w:sz w:val="24"/>
      </w:rPr>
    </w:pPr>
  </w:p>
  <w:p w14:paraId="0FAE4BE2" w14:textId="77777777" w:rsidR="00FC16A5" w:rsidRDefault="00FC16A5" w:rsidP="00667CB8">
    <w:pPr>
      <w:pStyle w:val="Encabezado"/>
      <w:jc w:val="center"/>
      <w:rPr>
        <w:rFonts w:ascii="Century Gothic" w:hAnsi="Century Gothic"/>
        <w:color w:val="000000" w:themeColor="text1"/>
        <w:sz w:val="24"/>
      </w:rPr>
    </w:pPr>
  </w:p>
  <w:p w14:paraId="2CA1D201" w14:textId="77777777" w:rsidR="00FC16A5" w:rsidRPr="00FC16A5" w:rsidRDefault="00FC16A5" w:rsidP="00F53463">
    <w:pPr>
      <w:pStyle w:val="Encabezado"/>
      <w:jc w:val="center"/>
      <w:rPr>
        <w:rFonts w:ascii="Century Gothic" w:hAnsi="Century Gothic"/>
        <w:color w:val="767171" w:themeColor="background2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BD4"/>
    <w:multiLevelType w:val="hybridMultilevel"/>
    <w:tmpl w:val="B7D867B4"/>
    <w:lvl w:ilvl="0" w:tplc="CA3009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5D9"/>
    <w:multiLevelType w:val="hybridMultilevel"/>
    <w:tmpl w:val="32AAF406"/>
    <w:lvl w:ilvl="0" w:tplc="249E1D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8654B"/>
    <w:multiLevelType w:val="hybridMultilevel"/>
    <w:tmpl w:val="45FA139A"/>
    <w:lvl w:ilvl="0" w:tplc="548010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36EB5"/>
    <w:multiLevelType w:val="hybridMultilevel"/>
    <w:tmpl w:val="B1D4C2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6434"/>
    <w:multiLevelType w:val="hybridMultilevel"/>
    <w:tmpl w:val="7A2C8424"/>
    <w:lvl w:ilvl="0" w:tplc="F0F224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56B48"/>
    <w:multiLevelType w:val="hybridMultilevel"/>
    <w:tmpl w:val="F0463D70"/>
    <w:lvl w:ilvl="0" w:tplc="8DF471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60AD"/>
    <w:multiLevelType w:val="hybridMultilevel"/>
    <w:tmpl w:val="4D924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1925"/>
    <w:multiLevelType w:val="hybridMultilevel"/>
    <w:tmpl w:val="C1AEC4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3055"/>
    <w:multiLevelType w:val="hybridMultilevel"/>
    <w:tmpl w:val="5996572C"/>
    <w:lvl w:ilvl="0" w:tplc="853CDC1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8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589C"/>
    <w:multiLevelType w:val="hybridMultilevel"/>
    <w:tmpl w:val="4C1C45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0089F"/>
    <w:multiLevelType w:val="hybridMultilevel"/>
    <w:tmpl w:val="F1AAAA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E2D0A"/>
    <w:multiLevelType w:val="hybridMultilevel"/>
    <w:tmpl w:val="1A7093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4550">
    <w:abstractNumId w:val="3"/>
  </w:num>
  <w:num w:numId="2" w16cid:durableId="199629298">
    <w:abstractNumId w:val="6"/>
  </w:num>
  <w:num w:numId="3" w16cid:durableId="211117665">
    <w:abstractNumId w:val="9"/>
  </w:num>
  <w:num w:numId="4" w16cid:durableId="560363144">
    <w:abstractNumId w:val="2"/>
  </w:num>
  <w:num w:numId="5" w16cid:durableId="264660072">
    <w:abstractNumId w:val="11"/>
  </w:num>
  <w:num w:numId="6" w16cid:durableId="776174364">
    <w:abstractNumId w:val="7"/>
  </w:num>
  <w:num w:numId="7" w16cid:durableId="310863318">
    <w:abstractNumId w:val="5"/>
  </w:num>
  <w:num w:numId="8" w16cid:durableId="88937092">
    <w:abstractNumId w:val="8"/>
  </w:num>
  <w:num w:numId="9" w16cid:durableId="30571137">
    <w:abstractNumId w:val="1"/>
  </w:num>
  <w:num w:numId="10" w16cid:durableId="1078095620">
    <w:abstractNumId w:val="4"/>
  </w:num>
  <w:num w:numId="11" w16cid:durableId="1040083578">
    <w:abstractNumId w:val="0"/>
  </w:num>
  <w:num w:numId="12" w16cid:durableId="137572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CB8"/>
    <w:rsid w:val="000145BC"/>
    <w:rsid w:val="0010266C"/>
    <w:rsid w:val="001530D6"/>
    <w:rsid w:val="001D4B5B"/>
    <w:rsid w:val="001F3CB6"/>
    <w:rsid w:val="00230B77"/>
    <w:rsid w:val="002464C3"/>
    <w:rsid w:val="00247C21"/>
    <w:rsid w:val="002C4CEA"/>
    <w:rsid w:val="002D5A29"/>
    <w:rsid w:val="002D7128"/>
    <w:rsid w:val="002E1B50"/>
    <w:rsid w:val="00394F63"/>
    <w:rsid w:val="0039504F"/>
    <w:rsid w:val="003C7CE1"/>
    <w:rsid w:val="003F6AF4"/>
    <w:rsid w:val="00441F58"/>
    <w:rsid w:val="004815A9"/>
    <w:rsid w:val="004A38B4"/>
    <w:rsid w:val="004B430E"/>
    <w:rsid w:val="00575C0E"/>
    <w:rsid w:val="005D1A4B"/>
    <w:rsid w:val="0060339A"/>
    <w:rsid w:val="00667CB8"/>
    <w:rsid w:val="006E0A2C"/>
    <w:rsid w:val="00702EBB"/>
    <w:rsid w:val="00737D57"/>
    <w:rsid w:val="007A16DF"/>
    <w:rsid w:val="00811AD1"/>
    <w:rsid w:val="00835875"/>
    <w:rsid w:val="00895E5A"/>
    <w:rsid w:val="008A7C6E"/>
    <w:rsid w:val="00985988"/>
    <w:rsid w:val="009B4A63"/>
    <w:rsid w:val="009E10F1"/>
    <w:rsid w:val="009E5A36"/>
    <w:rsid w:val="00A42566"/>
    <w:rsid w:val="00A966E9"/>
    <w:rsid w:val="00AE7F31"/>
    <w:rsid w:val="00B61C75"/>
    <w:rsid w:val="00B9502B"/>
    <w:rsid w:val="00BD7DE3"/>
    <w:rsid w:val="00C52DB8"/>
    <w:rsid w:val="00C67E73"/>
    <w:rsid w:val="00CB4599"/>
    <w:rsid w:val="00CE7B77"/>
    <w:rsid w:val="00DE2EE5"/>
    <w:rsid w:val="00E805C3"/>
    <w:rsid w:val="00EC04C2"/>
    <w:rsid w:val="00F357EE"/>
    <w:rsid w:val="00F410BE"/>
    <w:rsid w:val="00F53463"/>
    <w:rsid w:val="00FC16A5"/>
    <w:rsid w:val="00FE7EF7"/>
    <w:rsid w:val="00FF4CD7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CAE10B"/>
  <w15:docId w15:val="{BB6626D6-47B9-4455-9879-148C1A1F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CB8"/>
  </w:style>
  <w:style w:type="paragraph" w:styleId="Piedepgina">
    <w:name w:val="footer"/>
    <w:basedOn w:val="Normal"/>
    <w:link w:val="Piedepgina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CB8"/>
  </w:style>
  <w:style w:type="character" w:styleId="Hipervnculo">
    <w:name w:val="Hyperlink"/>
    <w:basedOn w:val="Fuentedeprrafopredeter"/>
    <w:uiPriority w:val="99"/>
    <w:unhideWhenUsed/>
    <w:rsid w:val="00667C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FF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s@consultek.com.mx" TargetMode="External"/><Relationship Id="rId1" Type="http://schemas.openxmlformats.org/officeDocument/2006/relationships/hyperlink" Target="http://www.consultek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Consultek México</cp:lastModifiedBy>
  <cp:revision>6</cp:revision>
  <dcterms:created xsi:type="dcterms:W3CDTF">2019-05-02T20:28:00Z</dcterms:created>
  <dcterms:modified xsi:type="dcterms:W3CDTF">2024-08-05T18:33:00Z</dcterms:modified>
</cp:coreProperties>
</file>